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4" w:rsidRPr="00FA43D4" w:rsidRDefault="00FA43D4" w:rsidP="00FA43D4">
      <w:pPr>
        <w:widowControl/>
        <w:jc w:val="left"/>
        <w:rPr>
          <w:rFonts w:ascii="宋体" w:eastAsia="宋体" w:hAnsi="宋体" w:cs="宋体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36"/>
          <w:szCs w:val="36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36"/>
          <w:shd w:val="clear" w:color="auto" w:fill="FFFFFF"/>
        </w:rPr>
        <w:t>公安机关录用人民警察体能测评项目和标准（暂行</w:t>
      </w:r>
      <w:r w:rsidRPr="00FA43D4">
        <w:rPr>
          <w:rFonts w:ascii="宋体" w:eastAsia="宋体" w:hAnsi="宋体" w:cs="宋体" w:hint="eastAsia"/>
          <w:color w:val="3F3F3F"/>
          <w:kern w:val="0"/>
          <w:sz w:val="36"/>
          <w:szCs w:val="36"/>
          <w:shd w:val="clear" w:color="auto" w:fill="FFFFFF"/>
        </w:rPr>
        <w:t>）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8"/>
          <w:szCs w:val="28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黑体" w:eastAsia="黑体" w:hAnsi="黑体" w:cs="宋体" w:hint="eastAsia"/>
          <w:color w:val="3F3F3F"/>
          <w:kern w:val="0"/>
          <w:sz w:val="24"/>
          <w:szCs w:val="24"/>
          <w:shd w:val="clear" w:color="auto" w:fill="FFFFFF"/>
        </w:rPr>
        <w:t>（一）男子组</w:t>
      </w:r>
    </w:p>
    <w:tbl>
      <w:tblPr>
        <w:tblW w:w="8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592"/>
        <w:gridCol w:w="5603"/>
      </w:tblGrid>
      <w:tr w:rsidR="00FA43D4" w:rsidRPr="00FA43D4" w:rsidTr="00FA43D4"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85pt;height:198.5pt"/>
              </w:pic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FA43D4" w:rsidRPr="00FA43D4" w:rsidTr="00FA43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D4" w:rsidRPr="00FA43D4" w:rsidRDefault="00FA43D4" w:rsidP="00FA43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5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FA43D4" w:rsidRPr="00FA43D4" w:rsidTr="00FA43D4"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13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13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FA43D4" w:rsidRPr="00FA43D4" w:rsidTr="00FA43D4"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′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25</w:t>
            </w:r>
            <w:r w:rsidRPr="00FA43D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′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35</w:t>
            </w:r>
            <w:r w:rsidRPr="00FA43D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FA43D4" w:rsidRPr="00FA43D4" w:rsidTr="00FA43D4"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≥265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28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8"/>
          <w:szCs w:val="28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24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黑体" w:eastAsia="黑体" w:hAnsi="黑体" w:cs="宋体" w:hint="eastAsia"/>
          <w:color w:val="3F3F3F"/>
          <w:kern w:val="0"/>
          <w:sz w:val="24"/>
          <w:szCs w:val="24"/>
          <w:shd w:val="clear" w:color="auto" w:fill="FFFFFF"/>
        </w:rPr>
        <w:t>（二）女子组</w:t>
      </w:r>
    </w:p>
    <w:tbl>
      <w:tblPr>
        <w:tblW w:w="8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2841"/>
        <w:gridCol w:w="2967"/>
      </w:tblGrid>
      <w:tr w:rsidR="00FA43D4" w:rsidRPr="00FA43D4" w:rsidTr="00FA43D4"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  <w:pict>
                <v:shape id="_x0000_i1026" type="#_x0000_t75" alt="" style="width:.85pt;height:143.15pt"/>
              </w:pic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 目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标 准</w:t>
            </w:r>
          </w:p>
        </w:tc>
      </w:tr>
      <w:tr w:rsidR="00FA43D4" w:rsidRPr="00FA43D4" w:rsidTr="00FA43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D4" w:rsidRPr="00FA43D4" w:rsidRDefault="00FA43D4" w:rsidP="00FA43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FA43D4" w:rsidRPr="00FA43D4" w:rsidTr="00FA43D4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FA43D4" w:rsidRPr="00FA43D4" w:rsidTr="00FA43D4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′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20</w:t>
            </w:r>
            <w:r w:rsidRPr="00FA43D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≤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  <w:r w:rsidRPr="00FA43D4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′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</w:t>
            </w:r>
            <w:r w:rsidRPr="00FA43D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FA43D4" w:rsidRPr="00FA43D4" w:rsidTr="00FA43D4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4" w:rsidRPr="00FA43D4" w:rsidRDefault="00FA43D4" w:rsidP="00FA43D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43D4">
              <w:rPr>
                <w:rFonts w:ascii="Times New Roman" w:eastAsia="宋体" w:hAnsi="Times New Roman" w:cs="Times New Roman"/>
                <w:color w:val="3F3F3F"/>
                <w:kern w:val="0"/>
                <w:sz w:val="28"/>
                <w:szCs w:val="28"/>
              </w:rPr>
              <w:t>≥230</w:t>
            </w:r>
            <w:r w:rsidRPr="00FA43D4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4"/>
          <w:szCs w:val="24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4"/>
          <w:szCs w:val="24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4"/>
          <w:szCs w:val="24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4"/>
          <w:szCs w:val="24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3F3F3F"/>
          <w:kern w:val="0"/>
          <w:sz w:val="24"/>
          <w:szCs w:val="24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附件2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FA43D4" w:rsidRPr="00FA43D4" w:rsidRDefault="00FA43D4" w:rsidP="00FA43D4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36"/>
          <w:shd w:val="clear" w:color="auto" w:fill="FFFFFF"/>
        </w:rPr>
        <w:t>河北省2020年公务员录用四级联考体能测评考生防疫与安全须知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72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  <w:shd w:val="clear" w:color="auto" w:fill="FFFFFF"/>
        </w:rPr>
        <w:t> 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1.根据疫情防控工作有关要求，报考公安机关人民警察职位的考生，须在体能测评前提前申领“河北健康码”。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申领方式为：通过微信搜索“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冀时办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”登录“河北健康码”，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（1）来自国内疫情低风险地区的考生：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“河北健康码”为绿码且健康状况正常，经现场测量体温正常可参加体能测评。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体能测评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“河北健康码”为绿码的，如无发热、干咳等体征症状的，须提供考前7天内核酸检测阴性证明方可参加体能测评；如有发热、干咳等体征症状的，须提供考前7天内2次核酸检测阴性证明方可参加体能测评。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“河北健康码”为红码或黄码的，要按照防疫有关要求配合进行隔离医学观察或隔离治疗。因执行隔离规定不能参加体能测评的，实行严格自律机制，按照体能测评标准自行测评合格后方可报名，笔试成绩公布后，在面试资格审查阶段进行体能测评补测，补测不合格或个人原因不能按时参加的，取消面试资格。</w:t>
      </w:r>
      <w:r w:rsidRPr="00FA43D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特别提示：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①这类考生须在体能测评报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名截止时间前，在“体能自测申报”栏中提前声明“因执行隔离规定，申请体能自测”，打印《四级联考体能测评表》、填报自测成绩并签字，以图片格式提交报考职位所在市“体能测评安排”中公布的电子邮箱。体能测评自测成绩为报名参考，是否合格以最终补测结果为准；②体能自测成绩不稳定或不合格的，建议报考公安机关人民警察职位以外的职位，避免因体能测评补测不合格影响选择报考其他职位的机会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（3）既往新冠肺炎确诊病例、无症状感染者及密切接触者，现已按规定解除隔离观察的考生，应当主动向参考地考试机构报告，且持河北健康码“绿码”方可参加体能测评。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体能测评前14天内与确诊、疑似病例或无症状感染者有密切接触史的考生，按照防疫有关要求配合进行隔离医学观察或隔离治疗。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2.按照疫情防控相关规定，考生须申报本人体能测评前14天健康状况（7月11日至24日期间）。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7月24日，考生在所报考公安职位所属的设区市、定州市、辛集市招录网站查看“体能测评安排”，下载并填写《个人健康信息承诺书（体能测评）》。7月25日至26日，考生持有效的二代《居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民身份证》以及打印的《体能测评表》《个人健康信息承诺书（体能测评）》按“体能测评安排”到指定地点参加体能测评。</w:t>
      </w:r>
    </w:p>
    <w:p w:rsidR="00FA43D4" w:rsidRPr="00FA43D4" w:rsidRDefault="00FA43D4" w:rsidP="00FA43D4">
      <w:pPr>
        <w:widowControl/>
        <w:spacing w:line="6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3.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考试当天，若考生在进入考点或考试过程中出现发热、咳嗽等症状，由考点医护人员进行初步诊断，并视情况安排到留观区待其他考生体能测评结束后单独测评，或者立即采取隔离措施，送往定点医院进行医治。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4.考生进入考点后，须全程听从考点工作人员指挥，分散进入考场，进出考场、测评期间均须与他人保持1米以上距离，避免近距离接触交流。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</w:t>
      </w: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馆的，请选择有资质并符合复工复产要求的宾馆，并提前向拟入住宾馆了解疫情防控要求。</w:t>
      </w:r>
    </w:p>
    <w:p w:rsidR="00FA43D4" w:rsidRPr="00FA43D4" w:rsidRDefault="00FA43D4" w:rsidP="00FA43D4">
      <w:pPr>
        <w:widowControl/>
        <w:spacing w:before="100" w:beforeAutospacing="1" w:after="100" w:afterAutospacing="1" w:line="640" w:lineRule="atLeast"/>
        <w:ind w:firstLine="640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FA43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公告发布后，疫情防控工作有新要求和规定的，省公务员主管部门将另行公告通知，请考生随时关注河北省公务员考试专题网站（http://www.hebgwyks.gov.cn）。</w:t>
      </w:r>
    </w:p>
    <w:p w:rsidR="00120C1D" w:rsidRDefault="00120C1D"/>
    <w:sectPr w:rsidR="0012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1D" w:rsidRDefault="00120C1D" w:rsidP="00FA43D4">
      <w:r>
        <w:separator/>
      </w:r>
    </w:p>
  </w:endnote>
  <w:endnote w:type="continuationSeparator" w:id="1">
    <w:p w:rsidR="00120C1D" w:rsidRDefault="00120C1D" w:rsidP="00FA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1D" w:rsidRDefault="00120C1D" w:rsidP="00FA43D4">
      <w:r>
        <w:separator/>
      </w:r>
    </w:p>
  </w:footnote>
  <w:footnote w:type="continuationSeparator" w:id="1">
    <w:p w:rsidR="00120C1D" w:rsidRDefault="00120C1D" w:rsidP="00FA4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D4"/>
    <w:rsid w:val="00120C1D"/>
    <w:rsid w:val="00F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3D4"/>
    <w:rPr>
      <w:sz w:val="18"/>
      <w:szCs w:val="18"/>
    </w:rPr>
  </w:style>
  <w:style w:type="paragraph" w:customStyle="1" w:styleId="p">
    <w:name w:val="p"/>
    <w:basedOn w:val="a"/>
    <w:rsid w:val="00FA4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china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2020-07-24T07:10:00Z</dcterms:created>
  <dcterms:modified xsi:type="dcterms:W3CDTF">2020-07-24T07:10:00Z</dcterms:modified>
</cp:coreProperties>
</file>