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殡葬服务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工作人员岗位条件表</w:t>
      </w:r>
      <w:bookmarkEnd w:id="0"/>
    </w:p>
    <w:tbl>
      <w:tblPr>
        <w:tblStyle w:val="4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34"/>
        <w:gridCol w:w="1890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招聘岗位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6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火化工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1.遵纪守法，品行良好，爱岗敬业，吃苦耐劳，愿意从事殡葬服务工作;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2.年龄45周岁以下（1975年4月1日以后出生）；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3.应聘司机岗位需持有C1及以上驾驶证，能熟练驾驶机动车且无重大交通事故记录；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4.无其他兼职。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5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具有任县户籍的退役军人优先聘用，同等条件下岗退役军人优先聘用。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3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司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83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新宋体" w:hAnsi="新宋体" w:eastAsia="新宋体" w:cs="新宋体"/>
        <w:sz w:val="28"/>
        <w:szCs w:val="28"/>
      </w:rPr>
    </w:pPr>
    <w:r>
      <w:rPr>
        <w:rFonts w:hint="eastAsia" w:ascii="新宋体" w:hAnsi="新宋体" w:eastAsia="新宋体" w:cs="新宋体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689C"/>
    <w:rsid w:val="713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2020-03-26T07:48:00Z</dcterms:created>
  <dc:creator>我不猜</dc:creator>
  <cp:lastModifiedBy>我不猜</cp:lastModifiedBy>
  <dcterms:modified xsi:type="dcterms:W3CDTF">2020-03-26T07:49:25Z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