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900" w:lineRule="atLeast"/>
        <w:ind w:left="0" w:right="0" w:firstLine="0"/>
        <w:jc w:val="center"/>
        <w:rPr>
          <w:rFonts w:hint="eastAsia" w:ascii="Arial" w:hAnsi="Arial" w:eastAsia="宋体" w:cs="Arial"/>
          <w:i w:val="0"/>
          <w:caps w:val="0"/>
          <w:color w:val="000000"/>
          <w:spacing w:val="0"/>
          <w:sz w:val="37"/>
          <w:szCs w:val="37"/>
          <w:lang w:eastAsia="zh-CN"/>
        </w:rPr>
      </w:pPr>
      <w:r>
        <w:rPr>
          <w:rFonts w:hint="default" w:ascii="Arial" w:hAnsi="Arial" w:cs="Arial"/>
          <w:i w:val="0"/>
          <w:caps w:val="0"/>
          <w:color w:val="000000"/>
          <w:spacing w:val="0"/>
          <w:sz w:val="37"/>
          <w:szCs w:val="37"/>
          <w:shd w:val="clear" w:fill="FFFFFF"/>
        </w:rPr>
        <w:t>公务员考试专业分类目录</w:t>
      </w:r>
      <w:r>
        <w:rPr>
          <w:rFonts w:hint="eastAsia" w:ascii="Arial" w:hAnsi="Arial" w:cs="Arial"/>
          <w:i w:val="0"/>
          <w:caps w:val="0"/>
          <w:color w:val="000000"/>
          <w:spacing w:val="0"/>
          <w:sz w:val="37"/>
          <w:szCs w:val="37"/>
          <w:shd w:val="clear" w:fill="FFFFFF"/>
          <w:lang w:eastAsia="zh-CN"/>
        </w:rPr>
        <w:t>（丰南教师招聘参照）</w:t>
      </w:r>
    </w:p>
    <w:tbl>
      <w:tblPr>
        <w:tblStyle w:val="9"/>
        <w:tblW w:w="9427" w:type="dxa"/>
        <w:tblCellSpacing w:w="7" w:type="dxa"/>
        <w:tblInd w:w="-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CCCCCC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7"/>
        <w:gridCol w:w="3616"/>
        <w:gridCol w:w="3885"/>
        <w:gridCol w:w="14"/>
        <w:gridCol w:w="704"/>
        <w:gridCol w:w="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CCCCCC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1" w:type="dxa"/>
          <w:trHeight w:val="315" w:hRule="atLeast"/>
          <w:tblCellSpacing w:w="7" w:type="dxa"/>
        </w:trPr>
        <w:tc>
          <w:tcPr>
            <w:tcW w:w="1166" w:type="dxa"/>
            <w:vMerge w:val="restart"/>
            <w:shd w:val="clear" w:color="auto" w:fill="F7F7F7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Style w:val="7"/>
                <w:sz w:val="18"/>
                <w:szCs w:val="18"/>
              </w:rPr>
              <w:t>学科类别</w:t>
            </w:r>
          </w:p>
        </w:tc>
        <w:tc>
          <w:tcPr>
            <w:tcW w:w="8198" w:type="dxa"/>
            <w:gridSpan w:val="4"/>
            <w:shd w:val="clear" w:color="auto" w:fill="F7F7F7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Style w:val="7"/>
                <w:sz w:val="18"/>
                <w:szCs w:val="18"/>
              </w:rPr>
              <w:t>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1" w:type="dxa"/>
          <w:trHeight w:val="480" w:hRule="atLeast"/>
          <w:tblCellSpacing w:w="7" w:type="dxa"/>
        </w:trPr>
        <w:tc>
          <w:tcPr>
            <w:tcW w:w="1166" w:type="dxa"/>
            <w:vMerge w:val="continue"/>
            <w:shd w:val="clear" w:color="auto" w:fill="F7F7F7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02" w:type="dxa"/>
            <w:shd w:val="clear" w:color="auto" w:fill="F7F7F7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Style w:val="7"/>
                <w:sz w:val="18"/>
                <w:szCs w:val="18"/>
              </w:rPr>
              <w:t>研究生专业</w:t>
            </w:r>
          </w:p>
        </w:tc>
        <w:tc>
          <w:tcPr>
            <w:tcW w:w="3871" w:type="dxa"/>
            <w:shd w:val="clear" w:color="auto" w:fill="F7F7F7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Style w:val="7"/>
                <w:sz w:val="18"/>
                <w:szCs w:val="18"/>
              </w:rPr>
              <w:t>本科专业</w:t>
            </w:r>
          </w:p>
        </w:tc>
        <w:tc>
          <w:tcPr>
            <w:tcW w:w="697" w:type="dxa"/>
            <w:gridSpan w:val="2"/>
            <w:shd w:val="clear" w:color="auto" w:fill="F7F7F7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Style w:val="7"/>
                <w:sz w:val="18"/>
                <w:szCs w:val="18"/>
              </w:rPr>
              <w:t>专科</w:t>
            </w:r>
            <w:r>
              <w:rPr>
                <w:rStyle w:val="7"/>
                <w:rFonts w:hint="eastAsia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Style w:val="7"/>
                <w:sz w:val="18"/>
                <w:szCs w:val="18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1" w:type="dxa"/>
          <w:trHeight w:val="1255" w:hRule="atLeast"/>
          <w:tblCellSpacing w:w="7" w:type="dxa"/>
        </w:trPr>
        <w:tc>
          <w:tcPr>
            <w:tcW w:w="1166" w:type="dxa"/>
            <w:vMerge w:val="restart"/>
            <w:shd w:val="clear" w:color="auto" w:fill="F7F7F7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7"/>
                <w:sz w:val="18"/>
                <w:szCs w:val="18"/>
              </w:rPr>
            </w:pPr>
            <w:r>
              <w:rPr>
                <w:rStyle w:val="7"/>
                <w:sz w:val="18"/>
                <w:szCs w:val="18"/>
              </w:rPr>
              <w:t>物理学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7"/>
                <w:sz w:val="18"/>
                <w:szCs w:val="18"/>
              </w:rPr>
            </w:pPr>
            <w:r>
              <w:rPr>
                <w:rStyle w:val="7"/>
                <w:rFonts w:hint="eastAsia"/>
                <w:sz w:val="18"/>
                <w:szCs w:val="18"/>
                <w:lang w:eastAsia="zh-CN"/>
              </w:rPr>
              <w:t>（力学）</w:t>
            </w:r>
            <w:r>
              <w:rPr>
                <w:rStyle w:val="7"/>
                <w:sz w:val="18"/>
                <w:szCs w:val="18"/>
              </w:rPr>
              <w:t>类</w:t>
            </w:r>
          </w:p>
        </w:tc>
        <w:tc>
          <w:tcPr>
            <w:tcW w:w="3602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理论物理，粒子物理与原子核物理，原子与分子物理，等离子体物理，凝聚态物理，声学，光学，光学工程，无线电物理</w:t>
            </w:r>
          </w:p>
        </w:tc>
        <w:tc>
          <w:tcPr>
            <w:tcW w:w="3871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物理学，应用物理学，声学，物理学教育，原子核物理学及核技术，核物理，光学，应用光学，光学工程</w:t>
            </w:r>
          </w:p>
        </w:tc>
        <w:tc>
          <w:tcPr>
            <w:tcW w:w="697" w:type="dxa"/>
            <w:gridSpan w:val="2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rPr>
                <w:sz w:val="18"/>
                <w:szCs w:val="18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rPr>
                <w:sz w:val="18"/>
                <w:szCs w:val="18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rPr>
                <w:sz w:val="18"/>
                <w:szCs w:val="18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rPr>
                <w:sz w:val="18"/>
                <w:szCs w:val="18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1" w:type="dxa"/>
          <w:trHeight w:val="455" w:hRule="atLeast"/>
          <w:tblCellSpacing w:w="7" w:type="dxa"/>
        </w:trPr>
        <w:tc>
          <w:tcPr>
            <w:tcW w:w="1166" w:type="dxa"/>
            <w:vMerge w:val="continue"/>
            <w:shd w:val="clear" w:color="auto" w:fill="F7F7F7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7"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leftChars="0" w:right="100" w:rightChars="0"/>
              <w:jc w:val="left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一般力学与力学基础，固体力学，流体力学</w:t>
            </w:r>
          </w:p>
        </w:tc>
        <w:tc>
          <w:tcPr>
            <w:tcW w:w="3871" w:type="dxa"/>
            <w:shd w:val="clear" w:color="auto" w:fill="FFFFFF"/>
            <w:vAlign w:val="center"/>
          </w:tcPr>
          <w:p>
            <w:pPr>
              <w:widowControl/>
              <w:spacing w:line="263" w:lineRule="atLeast"/>
              <w:ind w:left="100" w:leftChars="0" w:right="100" w:rightChars="0"/>
              <w:jc w:val="left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理论与应用力学</w:t>
            </w:r>
          </w:p>
        </w:tc>
        <w:tc>
          <w:tcPr>
            <w:tcW w:w="697" w:type="dxa"/>
            <w:gridSpan w:val="2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1" w:type="dxa"/>
          <w:trHeight w:val="1455" w:hRule="atLeast"/>
          <w:tblCellSpacing w:w="7" w:type="dxa"/>
        </w:trPr>
        <w:tc>
          <w:tcPr>
            <w:tcW w:w="1166" w:type="dxa"/>
            <w:shd w:val="clear" w:color="auto" w:fill="F7F7F7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7"/>
                <w:sz w:val="18"/>
                <w:szCs w:val="18"/>
              </w:rPr>
            </w:pPr>
            <w:r>
              <w:rPr>
                <w:rStyle w:val="7"/>
                <w:sz w:val="18"/>
                <w:szCs w:val="18"/>
              </w:rPr>
              <w:t>化学类</w:t>
            </w:r>
          </w:p>
        </w:tc>
        <w:tc>
          <w:tcPr>
            <w:tcW w:w="3602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化学，无机化学，分析化学，有机化学，物理化学，高分子化学与物理，材料化学，化学生物学，环境化学，电化学，催化化学，物构化学，农药学，材料物流与化学，放射化学</w:t>
            </w:r>
          </w:p>
        </w:tc>
        <w:tc>
          <w:tcPr>
            <w:tcW w:w="3871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化学，应用化学，化学生物学，分子科学与工程，化学教育，放射化学</w:t>
            </w:r>
          </w:p>
        </w:tc>
        <w:tc>
          <w:tcPr>
            <w:tcW w:w="697" w:type="dxa"/>
            <w:gridSpan w:val="2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1" w:type="dxa"/>
          <w:trHeight w:val="1875" w:hRule="atLeast"/>
          <w:tblCellSpacing w:w="7" w:type="dxa"/>
        </w:trPr>
        <w:tc>
          <w:tcPr>
            <w:tcW w:w="1166" w:type="dxa"/>
            <w:shd w:val="clear" w:color="auto" w:fill="F7F7F7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7"/>
                <w:sz w:val="18"/>
                <w:szCs w:val="18"/>
              </w:rPr>
            </w:pPr>
            <w:r>
              <w:rPr>
                <w:rStyle w:val="7"/>
                <w:sz w:val="18"/>
                <w:szCs w:val="18"/>
              </w:rPr>
              <w:t>生物科学类</w:t>
            </w:r>
          </w:p>
        </w:tc>
        <w:tc>
          <w:tcPr>
            <w:tcW w:w="3602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植物学，动物学，生理学，水生生物学，微生物学，神经生物学，遗传学，发育生物学，细胞生物学，生物化学与分子生物学，生物物理学，生态学，生物医学工程，生物学</w:t>
            </w:r>
          </w:p>
        </w:tc>
        <w:tc>
          <w:tcPr>
            <w:tcW w:w="3871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生物科学，生物技术，生物信息学，生物信息技术，生物科学与生物技术，动植物检疫，生物化学与分子生物学，医学信息学，植物生物技术，动物生物技术，生物资源科学，生物安全，生物工程，生物资源科学，生物安全，生态学</w:t>
            </w:r>
            <w:r>
              <w:rPr>
                <w:rFonts w:hint="eastAsia"/>
                <w:sz w:val="18"/>
                <w:szCs w:val="18"/>
                <w:lang w:eastAsia="zh-CN"/>
              </w:rPr>
              <w:t>。</w:t>
            </w:r>
            <w:r>
              <w:rPr>
                <w:sz w:val="18"/>
                <w:szCs w:val="18"/>
              </w:rPr>
              <w:t>应用生物教育</w:t>
            </w:r>
          </w:p>
        </w:tc>
        <w:tc>
          <w:tcPr>
            <w:tcW w:w="697" w:type="dxa"/>
            <w:gridSpan w:val="2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1" w:type="dxa"/>
          <w:trHeight w:val="1230" w:hRule="atLeast"/>
          <w:tblCellSpacing w:w="7" w:type="dxa"/>
        </w:trPr>
        <w:tc>
          <w:tcPr>
            <w:tcW w:w="1166" w:type="dxa"/>
            <w:shd w:val="clear" w:color="auto" w:fill="F7F7F7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7"/>
                <w:sz w:val="18"/>
                <w:szCs w:val="18"/>
              </w:rPr>
            </w:pPr>
            <w:r>
              <w:rPr>
                <w:rStyle w:val="7"/>
                <w:sz w:val="18"/>
                <w:szCs w:val="18"/>
              </w:rPr>
              <w:t>地理科学类</w:t>
            </w:r>
          </w:p>
        </w:tc>
        <w:tc>
          <w:tcPr>
            <w:tcW w:w="3602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地理，地理学，自然地理学，人文地理学，地图学与地理信息系统</w:t>
            </w:r>
          </w:p>
        </w:tc>
        <w:tc>
          <w:tcPr>
            <w:tcW w:w="3871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地理科学，资源环境与城乡规划管理，地理信息系统，地球信息科学与技术，地理学，资源环境区划与管理，经济地理学与城乡区域规划，地理信息系统与地图学，地理学教育</w:t>
            </w:r>
          </w:p>
        </w:tc>
        <w:tc>
          <w:tcPr>
            <w:tcW w:w="697" w:type="dxa"/>
            <w:gridSpan w:val="2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1" w:type="dxa"/>
          <w:trHeight w:val="90" w:hRule="atLeast"/>
          <w:tblCellSpacing w:w="7" w:type="dxa"/>
        </w:trPr>
        <w:tc>
          <w:tcPr>
            <w:tcW w:w="1166" w:type="dxa"/>
            <w:shd w:val="clear" w:color="auto" w:fill="F7F7F7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7"/>
                <w:sz w:val="18"/>
                <w:szCs w:val="18"/>
              </w:rPr>
            </w:pPr>
            <w:r>
              <w:rPr>
                <w:rStyle w:val="7"/>
                <w:sz w:val="18"/>
                <w:szCs w:val="18"/>
              </w:rPr>
              <w:t>历史学类</w:t>
            </w:r>
          </w:p>
        </w:tc>
        <w:tc>
          <w:tcPr>
            <w:tcW w:w="3602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19" w:leftChars="0" w:right="119" w:rightChars="0" w:firstLine="0" w:firstLineChars="0"/>
              <w:jc w:val="lef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中国近现代史基本问题研究，史学理论及史学史，考古学及博物馆学，历史地理学，历史文献学，专门史，中国古代史，中国近现代史，世界史，文化人类学，海洋史学，国际关系史，考古学，中国史，文物与博物馆</w:t>
            </w:r>
          </w:p>
        </w:tc>
        <w:tc>
          <w:tcPr>
            <w:tcW w:w="3871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19" w:leftChars="0" w:right="119" w:rightChars="0" w:firstLine="0" w:firstLineChars="0"/>
              <w:jc w:val="lef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历史学，世界史，世界历史，考古学，博物馆学，文物与博物馆学，文物保护技术，国际关系史</w:t>
            </w:r>
          </w:p>
        </w:tc>
        <w:tc>
          <w:tcPr>
            <w:tcW w:w="697" w:type="dxa"/>
            <w:gridSpan w:val="2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0" w:hRule="atLeast"/>
          <w:tblCellSpacing w:w="7" w:type="dxa"/>
        </w:trPr>
        <w:tc>
          <w:tcPr>
            <w:tcW w:w="1166" w:type="dxa"/>
            <w:shd w:val="clear" w:color="auto" w:fill="F7F7F7"/>
            <w:textDirection w:val="lrTb"/>
            <w:vAlign w:val="center"/>
          </w:tcPr>
          <w:p>
            <w:pPr>
              <w:widowControl/>
              <w:spacing w:line="263" w:lineRule="atLeast"/>
              <w:jc w:val="center"/>
              <w:rPr>
                <w:rStyle w:val="7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计算机类</w:t>
            </w:r>
          </w:p>
        </w:tc>
        <w:tc>
          <w:tcPr>
            <w:tcW w:w="3602" w:type="dxa"/>
            <w:shd w:val="clear" w:color="auto" w:fill="FFFFFF"/>
            <w:textDirection w:val="lrTb"/>
            <w:vAlign w:val="center"/>
          </w:tcPr>
          <w:p>
            <w:pPr>
              <w:widowControl/>
              <w:spacing w:line="263" w:lineRule="atLeast"/>
              <w:ind w:left="100" w:leftChars="0" w:right="100" w:rightChars="0"/>
              <w:jc w:val="left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计算机系统结构，计算机软件与理论，计算机应用技术，计算机科学与技术，软件工程，计算机与信息管理，计算机技术，应用软件工程</w:t>
            </w:r>
          </w:p>
        </w:tc>
        <w:tc>
          <w:tcPr>
            <w:tcW w:w="3871" w:type="dxa"/>
            <w:shd w:val="clear" w:color="auto" w:fill="FFFFFF"/>
            <w:textDirection w:val="lrTb"/>
            <w:vAlign w:val="center"/>
          </w:tcPr>
          <w:p>
            <w:pPr>
              <w:widowControl/>
              <w:spacing w:line="263" w:lineRule="atLeast"/>
              <w:ind w:left="100" w:leftChars="0" w:right="100" w:rightChars="0"/>
              <w:jc w:val="left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计算机科学技术，计算机科学教育，计算机网络技术，计算机网络工程，计算机网络技术工程，网络技术，网络工程，计算机数据库，数据库技术，计算机数据库技术，数据库，计算机管理，计算机应用，计算机控制，计算机控制技术，计算机通信，计算机通讯，计算机多媒体技术，多媒体技术，智能科学与技术，信息与计算机科学，计算数学及其应用软件，计算机与经济管理，计算机系统维护，计算机应用技术，计算机硬件，计算机器件，计算机设备，电器与电脑，可视化程序设计，Web应用程序设计，多媒体制作，图形图像制作，办公自动化技术，经济计算机管理，软件工程，计算机网络，计算机科学与技术，计算机及应用，计算机与信息管理，计算机信息管理，计算机信息应用，计算机软件与理论，物联网工程，电子与计算机工程，空间信息与数字技术，仿真科学与技术，计算机软件，传感网技术，信息安全，信息管理与信息系统</w:t>
            </w:r>
          </w:p>
        </w:tc>
        <w:tc>
          <w:tcPr>
            <w:tcW w:w="718" w:type="dxa"/>
            <w:gridSpan w:val="3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tblCellSpacing w:w="7" w:type="dxa"/>
        </w:trPr>
        <w:tc>
          <w:tcPr>
            <w:tcW w:w="1166" w:type="dxa"/>
            <w:shd w:val="clear" w:color="auto" w:fill="F7F7F7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rPr>
                <w:rStyle w:val="7"/>
                <w:sz w:val="18"/>
                <w:szCs w:val="18"/>
              </w:rPr>
            </w:pPr>
            <w:r>
              <w:rPr>
                <w:rStyle w:val="7"/>
                <w:sz w:val="18"/>
                <w:szCs w:val="18"/>
              </w:rPr>
              <w:t>美术学类</w:t>
            </w:r>
          </w:p>
        </w:tc>
        <w:tc>
          <w:tcPr>
            <w:tcW w:w="3602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美术学，艺术硕士专业（美术）</w:t>
            </w:r>
          </w:p>
        </w:tc>
        <w:tc>
          <w:tcPr>
            <w:tcW w:w="3871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绘画，雕塑，美术学，摄影，中国画，油画 ，版画，壁画，中国画与书法，书法学</w:t>
            </w:r>
            <w:r>
              <w:rPr>
                <w:rFonts w:hint="eastAsia"/>
                <w:sz w:val="18"/>
                <w:szCs w:val="18"/>
                <w:lang w:eastAsia="zh-CN"/>
              </w:rPr>
              <w:t>。</w:t>
            </w:r>
            <w:r>
              <w:rPr>
                <w:sz w:val="18"/>
                <w:szCs w:val="18"/>
              </w:rPr>
              <w:t>艺术教育</w:t>
            </w:r>
            <w:r>
              <w:rPr>
                <w:rFonts w:hint="eastAsia"/>
                <w:sz w:val="18"/>
                <w:szCs w:val="18"/>
                <w:lang w:eastAsia="zh-CN"/>
              </w:rPr>
              <w:t>（美术）</w:t>
            </w:r>
          </w:p>
        </w:tc>
        <w:tc>
          <w:tcPr>
            <w:tcW w:w="718" w:type="dxa"/>
            <w:gridSpan w:val="3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7" w:type="dxa"/>
        </w:trPr>
        <w:tc>
          <w:tcPr>
            <w:tcW w:w="1166" w:type="dxa"/>
            <w:shd w:val="clear" w:color="auto" w:fill="F7F7F7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7"/>
                <w:sz w:val="18"/>
                <w:szCs w:val="18"/>
              </w:rPr>
            </w:pPr>
            <w:r>
              <w:rPr>
                <w:rStyle w:val="7"/>
                <w:sz w:val="18"/>
                <w:szCs w:val="18"/>
              </w:rPr>
              <w:t>音乐与舞蹈学类</w:t>
            </w:r>
          </w:p>
        </w:tc>
        <w:tc>
          <w:tcPr>
            <w:tcW w:w="3602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音乐学，舞蹈学，音乐与舞蹈学， 艺术硕士专业（音乐，舞蹈）</w:t>
            </w:r>
          </w:p>
        </w:tc>
        <w:tc>
          <w:tcPr>
            <w:tcW w:w="3871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音乐学，作曲与作曲技术理论，音乐表演，舞蹈学，舞蹈表演，舞蹈编导，艺术与科技，音乐科技与艺术，指挥，键盘乐器演奏，弦（打击）乐器演奏，中国乐器演奏，乐器修造艺术，音乐音响导演，舞蹈史与舞蹈理论，舞蹈教育</w:t>
            </w:r>
            <w:r>
              <w:rPr>
                <w:rFonts w:hint="eastAsia"/>
                <w:sz w:val="18"/>
                <w:szCs w:val="18"/>
                <w:lang w:eastAsia="zh-CN"/>
              </w:rPr>
              <w:t>。</w:t>
            </w:r>
            <w:r>
              <w:rPr>
                <w:sz w:val="18"/>
                <w:szCs w:val="18"/>
              </w:rPr>
              <w:t>艺术教育</w:t>
            </w:r>
            <w:r>
              <w:rPr>
                <w:rFonts w:hint="eastAsia"/>
                <w:sz w:val="18"/>
                <w:szCs w:val="18"/>
                <w:lang w:eastAsia="zh-CN"/>
              </w:rPr>
              <w:t>（音乐）、体育舞蹈</w:t>
            </w:r>
          </w:p>
        </w:tc>
        <w:tc>
          <w:tcPr>
            <w:tcW w:w="718" w:type="dxa"/>
            <w:gridSpan w:val="3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166" w:type="dxa"/>
            <w:shd w:val="clear" w:color="auto" w:fill="F7F7F7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 w:firstLine="0" w:firstLineChars="0"/>
              <w:jc w:val="center"/>
              <w:textAlignment w:val="auto"/>
              <w:outlineLvl w:val="9"/>
            </w:pPr>
            <w:r>
              <w:rPr>
                <w:rStyle w:val="7"/>
                <w:sz w:val="18"/>
                <w:szCs w:val="18"/>
              </w:rPr>
              <w:t>体育学类</w:t>
            </w:r>
          </w:p>
        </w:tc>
        <w:tc>
          <w:tcPr>
            <w:tcW w:w="3602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right="120" w:firstLine="0" w:firstLineChars="0"/>
              <w:jc w:val="left"/>
              <w:textAlignment w:val="auto"/>
              <w:outlineLvl w:val="9"/>
            </w:pPr>
            <w:r>
              <w:rPr>
                <w:sz w:val="18"/>
                <w:szCs w:val="18"/>
              </w:rPr>
              <w:t>体育人文社会学，运动人体科学，体育教育训练学，民族传统体育学，</w:t>
            </w:r>
            <w:bookmarkStart w:id="0" w:name="_GoBack"/>
            <w:bookmarkEnd w:id="0"/>
            <w:r>
              <w:rPr>
                <w:sz w:val="18"/>
                <w:szCs w:val="18"/>
              </w:rPr>
              <w:t>体育硕士专业（体育教学、运动训练、竞赛组织、社会体育指导）</w:t>
            </w:r>
          </w:p>
        </w:tc>
        <w:tc>
          <w:tcPr>
            <w:tcW w:w="3885" w:type="dxa"/>
            <w:gridSpan w:val="2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right="120" w:firstLine="0" w:firstLineChars="0"/>
              <w:jc w:val="left"/>
              <w:textAlignment w:val="auto"/>
              <w:outlineLvl w:val="9"/>
            </w:pPr>
            <w:r>
              <w:rPr>
                <w:sz w:val="18"/>
                <w:szCs w:val="18"/>
              </w:rPr>
              <w:t>体育教育，运动训练，社会体育，社会体育指导与管理，运动科学，武术与民族传统体育，运动人体科学，运动科学，民族传统体育，运动康复与健康，运动康复，运动保健康复，体育生物科学，体育管理，运动训练，武术，警察体育，休闲体育</w:t>
            </w:r>
          </w:p>
        </w:tc>
        <w:tc>
          <w:tcPr>
            <w:tcW w:w="704" w:type="dxa"/>
            <w:gridSpan w:val="2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right="120" w:firstLine="0" w:firstLineChars="0"/>
              <w:jc w:val="left"/>
              <w:textAlignment w:val="auto"/>
              <w:outlineLvl w:val="9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5" w:hRule="atLeast"/>
          <w:tblCellSpacing w:w="7" w:type="dxa"/>
        </w:trPr>
        <w:tc>
          <w:tcPr>
            <w:tcW w:w="1166" w:type="dxa"/>
            <w:shd w:val="clear" w:color="auto" w:fill="F7F7F7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 w:firstLine="0" w:firstLineChars="0"/>
              <w:jc w:val="center"/>
              <w:textAlignment w:val="auto"/>
              <w:outlineLvl w:val="9"/>
            </w:pPr>
            <w:r>
              <w:rPr>
                <w:rStyle w:val="7"/>
                <w:sz w:val="18"/>
                <w:szCs w:val="18"/>
              </w:rPr>
              <w:t>中国语言文学类</w:t>
            </w:r>
          </w:p>
        </w:tc>
        <w:tc>
          <w:tcPr>
            <w:tcW w:w="3602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right="120" w:firstLine="0" w:firstLineChars="0"/>
              <w:jc w:val="left"/>
              <w:textAlignment w:val="auto"/>
              <w:outlineLvl w:val="9"/>
            </w:pPr>
            <w:r>
              <w:rPr>
                <w:sz w:val="18"/>
                <w:szCs w:val="18"/>
              </w:rPr>
              <w:t>文艺学，语言学及应用语言学，汉语言文字学，中国古典文献学，中国古代文学，中国现当代文学，中国少数民族语言文学，文学阅读与文学教育，比较文学与世界文学，经济秘书，广播影视文艺学</w:t>
            </w:r>
          </w:p>
        </w:tc>
        <w:tc>
          <w:tcPr>
            <w:tcW w:w="3885" w:type="dxa"/>
            <w:gridSpan w:val="2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right="120" w:firstLine="0" w:firstLineChars="0"/>
              <w:jc w:val="left"/>
              <w:textAlignment w:val="auto"/>
              <w:outlineLvl w:val="9"/>
            </w:pPr>
            <w:r>
              <w:rPr>
                <w:sz w:val="18"/>
                <w:szCs w:val="18"/>
              </w:rPr>
              <w:t>汉语言文学，汉语言，汉语国际教育，对外汉语，中国少数民族语言文学，藏语言文学，蒙古语言文学，维吾尔语言文学，朝鲜语言文学，哈萨克语言文学，语言学，编辑学，汉语言文学教育，少数民族语言文学教育，古典文献学，中国语言文化，中国语言文学，中文应用，华文教育，应用语言学，古典文献，文学，中国文学，汉语言文学与文化传播，秘书学，文秘，文秘学，中文秘书教育，现代秘书，中文，经济秘书，中国学，医学文秘</w:t>
            </w:r>
            <w:r>
              <w:rPr>
                <w:rFonts w:hint="eastAsia"/>
                <w:sz w:val="18"/>
                <w:szCs w:val="18"/>
                <w:lang w:eastAsia="zh-CN"/>
              </w:rPr>
              <w:t>。</w:t>
            </w:r>
            <w:r>
              <w:rPr>
                <w:sz w:val="18"/>
                <w:szCs w:val="18"/>
              </w:rPr>
              <w:t>文秘教育，中文教育</w:t>
            </w:r>
          </w:p>
        </w:tc>
        <w:tc>
          <w:tcPr>
            <w:tcW w:w="704" w:type="dxa"/>
            <w:gridSpan w:val="2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right="120" w:firstLine="0" w:firstLineChars="0"/>
              <w:jc w:val="left"/>
              <w:textAlignment w:val="auto"/>
              <w:outlineLvl w:val="9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166" w:type="dxa"/>
            <w:shd w:val="clear" w:color="auto" w:fill="F7F7F7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7"/>
                <w:sz w:val="18"/>
                <w:szCs w:val="18"/>
              </w:rPr>
            </w:pPr>
            <w:r>
              <w:rPr>
                <w:rStyle w:val="7"/>
                <w:sz w:val="18"/>
                <w:szCs w:val="18"/>
              </w:rPr>
              <w:t>数学类</w:t>
            </w:r>
          </w:p>
        </w:tc>
        <w:tc>
          <w:tcPr>
            <w:tcW w:w="3602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基础数学，计算数学，概率论与数理统计，应用数学，运筹学与控制论</w:t>
            </w:r>
          </w:p>
        </w:tc>
        <w:tc>
          <w:tcPr>
            <w:tcW w:w="3885" w:type="dxa"/>
            <w:gridSpan w:val="2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数学与应用数学，信息与计算科学，数理基础科学，应用数学，计算数学及其应用软件，数学</w:t>
            </w:r>
            <w:r>
              <w:rPr>
                <w:rFonts w:hint="eastAsia"/>
                <w:sz w:val="18"/>
                <w:szCs w:val="18"/>
                <w:lang w:eastAsia="zh-CN"/>
              </w:rPr>
              <w:t>。</w:t>
            </w:r>
            <w:r>
              <w:rPr>
                <w:sz w:val="18"/>
                <w:szCs w:val="18"/>
              </w:rPr>
              <w:t>数学教育</w:t>
            </w:r>
          </w:p>
        </w:tc>
        <w:tc>
          <w:tcPr>
            <w:tcW w:w="704" w:type="dxa"/>
            <w:gridSpan w:val="2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166" w:type="dxa"/>
            <w:shd w:val="clear" w:color="auto" w:fill="F7F7F7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 w:firstLine="0" w:firstLineChars="0"/>
              <w:jc w:val="center"/>
              <w:textAlignment w:val="auto"/>
              <w:outlineLvl w:val="9"/>
            </w:pPr>
            <w:r>
              <w:rPr>
                <w:rStyle w:val="7"/>
                <w:sz w:val="18"/>
                <w:szCs w:val="18"/>
              </w:rPr>
              <w:t>外国语言文学类</w:t>
            </w:r>
          </w:p>
        </w:tc>
        <w:tc>
          <w:tcPr>
            <w:tcW w:w="3602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right="120" w:firstLine="0" w:firstLineChars="0"/>
              <w:jc w:val="left"/>
              <w:textAlignment w:val="auto"/>
              <w:outlineLvl w:val="9"/>
            </w:pPr>
            <w:r>
              <w:rPr>
                <w:sz w:val="18"/>
                <w:szCs w:val="18"/>
              </w:rPr>
              <w:t>英语语言文学，俄语语言文学，法语语言文学，德语语言文学，日语语言文学，印度语言文学，西班牙语语言文学，阿拉伯语语言文学，欧洲语言文学，亚非语言文学，外国语言学及应用语言学，翻译硕士专业（英语笔译、英语口译、俄语笔译、俄语口译、日语笔译、日语口译、法语笔译、法语口译、德语笔译、德语口译、朝鲜语口译、朝鲜语笔译）</w:t>
            </w:r>
          </w:p>
        </w:tc>
        <w:tc>
          <w:tcPr>
            <w:tcW w:w="3885" w:type="dxa"/>
            <w:gridSpan w:val="2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right="120" w:firstLine="0" w:firstLineChars="0"/>
              <w:jc w:val="left"/>
              <w:textAlignment w:val="auto"/>
              <w:outlineLvl w:val="9"/>
            </w:pPr>
            <w:r>
              <w:rPr>
                <w:sz w:val="18"/>
                <w:szCs w:val="18"/>
              </w:rPr>
              <w:t>英语，英语语言文学，俄语，德语，法语，西班牙语，阿拉伯语，日语，应用日语，波斯语，朝鲜语，菲律宾语，梵语巴利语，印度尼西亚语，印地语，柬埔寨语，老挝语，缅甸语，马来语，蒙古语，僧加罗语，泰语，乌尔都语，希伯莱语，越南语，豪萨语，斯瓦希里语，阿尔巴尼亚语，保加利亚语，波兰语，捷克语，罗马尼亚语，葡萄牙语，瑞典语，塞尔维亚语，塞尔维亚—克罗地亚语，土耳其语，希腊语，匈牙利语，意大利语，捷克－斯洛伐克语，泰米尔语，普什图语，世界语，孟加拉语，尼泊尔语，塞尔维亚语—克罗地亚语，克罗地亚语，爱尔兰语，荷兰语，芬兰语，乌克兰语，韩国语，挪威语，丹麦语，立陶宛语，爱沙尼亚语，马耳他语，冰岛语，翻译，国际经济与贸易英语，商贸英语</w:t>
            </w:r>
          </w:p>
        </w:tc>
        <w:tc>
          <w:tcPr>
            <w:tcW w:w="704" w:type="dxa"/>
            <w:gridSpan w:val="2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right="120" w:firstLine="0" w:firstLineChars="0"/>
              <w:jc w:val="left"/>
              <w:textAlignment w:val="auto"/>
              <w:outlineLvl w:val="9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7" w:type="dxa"/>
        </w:trPr>
        <w:tc>
          <w:tcPr>
            <w:tcW w:w="1166" w:type="dxa"/>
            <w:shd w:val="clear" w:color="auto" w:fill="F7F7F7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Style w:val="7"/>
                <w:rFonts w:hint="eastAsia"/>
                <w:sz w:val="18"/>
                <w:szCs w:val="18"/>
                <w:lang w:eastAsia="zh-CN"/>
              </w:rPr>
            </w:pPr>
            <w:r>
              <w:rPr>
                <w:rStyle w:val="7"/>
                <w:rFonts w:hint="eastAsia"/>
                <w:sz w:val="18"/>
                <w:szCs w:val="18"/>
                <w:lang w:eastAsia="zh-CN"/>
              </w:rPr>
              <w:t>幼教</w:t>
            </w:r>
          </w:p>
        </w:tc>
        <w:tc>
          <w:tcPr>
            <w:tcW w:w="3602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学前教育学，教育硕士专业（学前教育）</w:t>
            </w:r>
          </w:p>
        </w:tc>
        <w:tc>
          <w:tcPr>
            <w:tcW w:w="3885" w:type="dxa"/>
            <w:gridSpan w:val="2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学前教育，幼儿教育</w:t>
            </w:r>
          </w:p>
        </w:tc>
        <w:tc>
          <w:tcPr>
            <w:tcW w:w="704" w:type="dxa"/>
            <w:gridSpan w:val="2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120" w:leftChars="0" w:right="120" w:rightChars="0" w:firstLine="0" w:firstLineChars="0"/>
              <w:jc w:val="left"/>
              <w:textAlignment w:val="auto"/>
              <w:outlineLvl w:val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学前教育</w:t>
            </w:r>
          </w:p>
        </w:tc>
      </w:tr>
    </w:tbl>
    <w:p>
      <w:pPr/>
    </w:p>
    <w:sectPr>
      <w:footerReference r:id="rId3" w:type="default"/>
      <w:pgSz w:w="11906" w:h="16838"/>
      <w:pgMar w:top="1417" w:right="1463" w:bottom="1417" w:left="146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decorative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roman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roma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decorative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modern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moder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roma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NTVs2A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D6C83"/>
    <w:rsid w:val="008A177D"/>
    <w:rsid w:val="04347974"/>
    <w:rsid w:val="09B75A6B"/>
    <w:rsid w:val="0C77070A"/>
    <w:rsid w:val="0FC0197A"/>
    <w:rsid w:val="10B56C1E"/>
    <w:rsid w:val="10BC0B6F"/>
    <w:rsid w:val="110F7284"/>
    <w:rsid w:val="16F85A22"/>
    <w:rsid w:val="17E3123C"/>
    <w:rsid w:val="17E63775"/>
    <w:rsid w:val="1A0E16F3"/>
    <w:rsid w:val="1A7D7E15"/>
    <w:rsid w:val="1D392843"/>
    <w:rsid w:val="1D9A25A3"/>
    <w:rsid w:val="1FCC5A51"/>
    <w:rsid w:val="27D4619C"/>
    <w:rsid w:val="2AD20F74"/>
    <w:rsid w:val="30B174C0"/>
    <w:rsid w:val="34967CDE"/>
    <w:rsid w:val="36994C39"/>
    <w:rsid w:val="36E525CC"/>
    <w:rsid w:val="3AC04BC1"/>
    <w:rsid w:val="3C3E4866"/>
    <w:rsid w:val="3C452B3B"/>
    <w:rsid w:val="40CC4DAA"/>
    <w:rsid w:val="431C2386"/>
    <w:rsid w:val="47A60D5B"/>
    <w:rsid w:val="4D7B62DB"/>
    <w:rsid w:val="537F17ED"/>
    <w:rsid w:val="563A0EA2"/>
    <w:rsid w:val="5BA82219"/>
    <w:rsid w:val="5C1F7596"/>
    <w:rsid w:val="601D12F1"/>
    <w:rsid w:val="62EB0531"/>
    <w:rsid w:val="64201DBF"/>
    <w:rsid w:val="69191571"/>
    <w:rsid w:val="69C70C72"/>
    <w:rsid w:val="70D2395D"/>
    <w:rsid w:val="7295361A"/>
    <w:rsid w:val="72AC65B0"/>
    <w:rsid w:val="77474E8F"/>
    <w:rsid w:val="7801763A"/>
    <w:rsid w:val="7D3B6E97"/>
    <w:rsid w:val="7DA3392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2018-08-24T08:38:00Z</cp:lastPrinted>
  <dcterms:modified xsi:type="dcterms:W3CDTF">2019-04-11T10:18:01Z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  <property fmtid="{D5CDD505-2E9C-101B-9397-08002B2CF9AE}" pid="3" name="KSORubyTemplateID">
    <vt:lpwstr>6</vt:lpwstr>
  </property>
</Properties>
</file>