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1085" w:type="dxa"/>
        <w:jc w:val="center"/>
        <w:tblInd w:w="-12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98"/>
        <w:gridCol w:w="1409"/>
        <w:gridCol w:w="1085"/>
        <w:gridCol w:w="914"/>
        <w:gridCol w:w="1228"/>
        <w:gridCol w:w="1320"/>
        <w:gridCol w:w="1619"/>
        <w:gridCol w:w="1244"/>
        <w:gridCol w:w="10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54" w:hRule="exact"/>
          <w:jc w:val="center"/>
        </w:trPr>
        <w:tc>
          <w:tcPr>
            <w:tcW w:w="119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附件2：</w:t>
            </w:r>
          </w:p>
        </w:tc>
        <w:tc>
          <w:tcPr>
            <w:tcW w:w="1409" w:type="dxa"/>
            <w:shd w:val="clear" w:color="auto" w:fill="auto"/>
            <w:vAlign w:val="center"/>
          </w:tcPr>
          <w:p>
            <w:pPr>
              <w:rPr>
                <w:rFonts w:hint="eastAsia" w:ascii="宋体" w:hAnsi="宋体" w:eastAsia="宋体" w:cs="宋体"/>
                <w:i w:val="0"/>
                <w:color w:val="000000"/>
                <w:sz w:val="24"/>
                <w:szCs w:val="24"/>
                <w:u w:val="none"/>
              </w:rPr>
            </w:pPr>
          </w:p>
        </w:tc>
        <w:tc>
          <w:tcPr>
            <w:tcW w:w="1085" w:type="dxa"/>
            <w:shd w:val="clear" w:color="auto" w:fill="auto"/>
            <w:vAlign w:val="center"/>
          </w:tcPr>
          <w:p>
            <w:pPr>
              <w:rPr>
                <w:rFonts w:hint="eastAsia" w:ascii="宋体" w:hAnsi="宋体" w:eastAsia="宋体" w:cs="宋体"/>
                <w:i w:val="0"/>
                <w:color w:val="000000"/>
                <w:sz w:val="24"/>
                <w:szCs w:val="24"/>
                <w:u w:val="none"/>
              </w:rPr>
            </w:pPr>
          </w:p>
        </w:tc>
        <w:tc>
          <w:tcPr>
            <w:tcW w:w="914" w:type="dxa"/>
            <w:shd w:val="clear" w:color="auto" w:fill="auto"/>
            <w:vAlign w:val="center"/>
          </w:tcPr>
          <w:p>
            <w:pPr>
              <w:rPr>
                <w:rFonts w:hint="eastAsia" w:ascii="宋体" w:hAnsi="宋体" w:eastAsia="宋体" w:cs="宋体"/>
                <w:i w:val="0"/>
                <w:color w:val="000000"/>
                <w:sz w:val="24"/>
                <w:szCs w:val="24"/>
                <w:u w:val="none"/>
              </w:rPr>
            </w:pPr>
          </w:p>
        </w:tc>
        <w:tc>
          <w:tcPr>
            <w:tcW w:w="1228" w:type="dxa"/>
            <w:shd w:val="clear" w:color="auto" w:fill="auto"/>
            <w:vAlign w:val="center"/>
          </w:tcPr>
          <w:p>
            <w:pPr>
              <w:rPr>
                <w:rFonts w:hint="eastAsia" w:ascii="宋体" w:hAnsi="宋体" w:eastAsia="宋体" w:cs="宋体"/>
                <w:i w:val="0"/>
                <w:color w:val="000000"/>
                <w:sz w:val="24"/>
                <w:szCs w:val="24"/>
                <w:u w:val="none"/>
              </w:rPr>
            </w:pPr>
          </w:p>
        </w:tc>
        <w:tc>
          <w:tcPr>
            <w:tcW w:w="1320" w:type="dxa"/>
            <w:shd w:val="clear" w:color="auto" w:fill="auto"/>
            <w:vAlign w:val="center"/>
          </w:tcPr>
          <w:p>
            <w:pPr>
              <w:rPr>
                <w:rFonts w:hint="eastAsia" w:ascii="宋体" w:hAnsi="宋体" w:eastAsia="宋体" w:cs="宋体"/>
                <w:i w:val="0"/>
                <w:color w:val="000000"/>
                <w:sz w:val="24"/>
                <w:szCs w:val="24"/>
                <w:u w:val="none"/>
              </w:rPr>
            </w:pPr>
          </w:p>
        </w:tc>
        <w:tc>
          <w:tcPr>
            <w:tcW w:w="1619" w:type="dxa"/>
            <w:shd w:val="clear" w:color="auto" w:fill="auto"/>
            <w:vAlign w:val="center"/>
          </w:tcPr>
          <w:p>
            <w:pPr>
              <w:rPr>
                <w:rFonts w:hint="eastAsia" w:ascii="宋体" w:hAnsi="宋体" w:eastAsia="宋体" w:cs="宋体"/>
                <w:i w:val="0"/>
                <w:color w:val="000000"/>
                <w:sz w:val="24"/>
                <w:szCs w:val="24"/>
                <w:u w:val="none"/>
              </w:rPr>
            </w:pPr>
          </w:p>
        </w:tc>
        <w:tc>
          <w:tcPr>
            <w:tcW w:w="1244" w:type="dxa"/>
            <w:shd w:val="clear" w:color="auto" w:fill="auto"/>
            <w:vAlign w:val="center"/>
          </w:tcPr>
          <w:p>
            <w:pPr>
              <w:rPr>
                <w:rFonts w:hint="eastAsia" w:ascii="宋体" w:hAnsi="宋体" w:eastAsia="宋体" w:cs="宋体"/>
                <w:i w:val="0"/>
                <w:color w:val="000000"/>
                <w:sz w:val="24"/>
                <w:szCs w:val="24"/>
                <w:u w:val="none"/>
              </w:rPr>
            </w:pPr>
          </w:p>
        </w:tc>
        <w:tc>
          <w:tcPr>
            <w:tcW w:w="1068" w:type="dxa"/>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9" w:hRule="exact"/>
          <w:jc w:val="center"/>
        </w:trPr>
        <w:tc>
          <w:tcPr>
            <w:tcW w:w="11085" w:type="dxa"/>
            <w:gridSpan w:val="9"/>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清河县2018年公开招聘小学人事代理教师岗位条件表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4" w:hRule="exact"/>
          <w:jc w:val="center"/>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color w:val="000000"/>
                <w:sz w:val="24"/>
                <w:szCs w:val="24"/>
                <w:u w:val="none"/>
              </w:rPr>
            </w:pPr>
            <w:r>
              <w:rPr>
                <w:rFonts w:hint="default" w:ascii="仿宋_GB2312" w:hAnsi="宋体" w:eastAsia="仿宋_GB2312" w:cs="仿宋_GB2312"/>
                <w:b/>
                <w:bCs/>
                <w:i w:val="0"/>
                <w:color w:val="000000"/>
                <w:kern w:val="0"/>
                <w:sz w:val="24"/>
                <w:szCs w:val="24"/>
                <w:u w:val="none"/>
                <w:lang w:val="en-US" w:eastAsia="zh-CN" w:bidi="ar"/>
              </w:rPr>
              <w:t>主管部门</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color w:val="000000"/>
                <w:sz w:val="24"/>
                <w:szCs w:val="24"/>
                <w:u w:val="none"/>
              </w:rPr>
            </w:pPr>
            <w:r>
              <w:rPr>
                <w:rFonts w:hint="default" w:ascii="仿宋_GB2312" w:hAnsi="宋体" w:eastAsia="仿宋_GB2312" w:cs="仿宋_GB2312"/>
                <w:b/>
                <w:bCs/>
                <w:i w:val="0"/>
                <w:color w:val="000000"/>
                <w:kern w:val="0"/>
                <w:sz w:val="24"/>
                <w:szCs w:val="24"/>
                <w:u w:val="none"/>
                <w:lang w:val="en-US" w:eastAsia="zh-CN" w:bidi="ar"/>
              </w:rPr>
              <w:t>招聘单位</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color w:val="000000"/>
                <w:sz w:val="24"/>
                <w:szCs w:val="24"/>
                <w:u w:val="none"/>
              </w:rPr>
            </w:pPr>
            <w:r>
              <w:rPr>
                <w:rFonts w:hint="default" w:ascii="仿宋_GB2312" w:hAnsi="宋体" w:eastAsia="仿宋_GB2312" w:cs="仿宋_GB2312"/>
                <w:b/>
                <w:bCs/>
                <w:i w:val="0"/>
                <w:color w:val="000000"/>
                <w:kern w:val="0"/>
                <w:sz w:val="24"/>
                <w:szCs w:val="24"/>
                <w:u w:val="none"/>
                <w:lang w:val="en-US" w:eastAsia="zh-CN" w:bidi="ar"/>
              </w:rPr>
              <w:t>招聘岗位类别</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color w:val="000000"/>
                <w:sz w:val="24"/>
                <w:szCs w:val="24"/>
                <w:u w:val="none"/>
              </w:rPr>
            </w:pPr>
            <w:r>
              <w:rPr>
                <w:rFonts w:hint="default" w:ascii="仿宋_GB2312" w:hAnsi="宋体" w:eastAsia="仿宋_GB2312" w:cs="仿宋_GB2312"/>
                <w:b/>
                <w:bCs/>
                <w:i w:val="0"/>
                <w:color w:val="000000"/>
                <w:kern w:val="0"/>
                <w:sz w:val="24"/>
                <w:szCs w:val="24"/>
                <w:u w:val="none"/>
                <w:lang w:val="en-US" w:eastAsia="zh-CN" w:bidi="ar"/>
              </w:rPr>
              <w:t>招聘</w:t>
            </w:r>
            <w:r>
              <w:rPr>
                <w:rFonts w:hint="default" w:ascii="仿宋_GB2312" w:hAnsi="宋体" w:eastAsia="仿宋_GB2312" w:cs="仿宋_GB2312"/>
                <w:b/>
                <w:bCs/>
                <w:i w:val="0"/>
                <w:color w:val="000000"/>
                <w:kern w:val="0"/>
                <w:sz w:val="24"/>
                <w:szCs w:val="24"/>
                <w:u w:val="none"/>
                <w:lang w:val="en-US" w:eastAsia="zh-CN" w:bidi="ar"/>
              </w:rPr>
              <w:br w:type="textWrapping"/>
            </w:r>
            <w:r>
              <w:rPr>
                <w:rFonts w:hint="default" w:ascii="仿宋_GB2312" w:hAnsi="宋体" w:eastAsia="仿宋_GB2312" w:cs="仿宋_GB2312"/>
                <w:b/>
                <w:bCs/>
                <w:i w:val="0"/>
                <w:color w:val="000000"/>
                <w:kern w:val="0"/>
                <w:sz w:val="24"/>
                <w:szCs w:val="24"/>
                <w:u w:val="none"/>
                <w:lang w:val="en-US" w:eastAsia="zh-CN" w:bidi="ar"/>
              </w:rPr>
              <w:t>人数</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color w:val="000000"/>
                <w:sz w:val="24"/>
                <w:szCs w:val="24"/>
                <w:u w:val="none"/>
              </w:rPr>
            </w:pPr>
            <w:r>
              <w:rPr>
                <w:rFonts w:hint="default" w:ascii="仿宋_GB2312" w:hAnsi="宋体" w:eastAsia="仿宋_GB2312" w:cs="仿宋_GB2312"/>
                <w:b/>
                <w:bCs/>
                <w:i w:val="0"/>
                <w:color w:val="000000"/>
                <w:kern w:val="0"/>
                <w:sz w:val="24"/>
                <w:szCs w:val="24"/>
                <w:u w:val="none"/>
                <w:lang w:val="en-US" w:eastAsia="zh-CN" w:bidi="ar"/>
              </w:rPr>
              <w:t>专业要求</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color w:val="000000"/>
                <w:sz w:val="24"/>
                <w:szCs w:val="24"/>
                <w:u w:val="none"/>
              </w:rPr>
            </w:pPr>
            <w:r>
              <w:rPr>
                <w:rFonts w:hint="default" w:ascii="仿宋_GB2312" w:hAnsi="宋体" w:eastAsia="仿宋_GB2312" w:cs="仿宋_GB2312"/>
                <w:b/>
                <w:bCs/>
                <w:i w:val="0"/>
                <w:color w:val="000000"/>
                <w:kern w:val="0"/>
                <w:sz w:val="24"/>
                <w:szCs w:val="24"/>
                <w:u w:val="none"/>
                <w:lang w:val="en-US" w:eastAsia="zh-CN" w:bidi="ar"/>
              </w:rPr>
              <w:t>学历条件</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color w:val="000000"/>
                <w:sz w:val="24"/>
                <w:szCs w:val="24"/>
                <w:u w:val="none"/>
              </w:rPr>
            </w:pPr>
            <w:r>
              <w:rPr>
                <w:rFonts w:hint="default" w:ascii="仿宋_GB2312" w:hAnsi="宋体" w:eastAsia="仿宋_GB2312" w:cs="仿宋_GB2312"/>
                <w:b/>
                <w:bCs/>
                <w:i w:val="0"/>
                <w:color w:val="000000"/>
                <w:kern w:val="0"/>
                <w:sz w:val="24"/>
                <w:szCs w:val="24"/>
                <w:u w:val="none"/>
                <w:lang w:val="en-US" w:eastAsia="zh-CN" w:bidi="ar"/>
              </w:rPr>
              <w:t>年龄条件</w:t>
            </w:r>
          </w:p>
        </w:tc>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color w:val="000000"/>
                <w:sz w:val="24"/>
                <w:szCs w:val="24"/>
                <w:u w:val="none"/>
              </w:rPr>
            </w:pPr>
            <w:r>
              <w:rPr>
                <w:rFonts w:hint="default" w:ascii="仿宋_GB2312" w:hAnsi="宋体" w:eastAsia="仿宋_GB2312" w:cs="仿宋_GB2312"/>
                <w:b/>
                <w:bCs/>
                <w:i w:val="0"/>
                <w:color w:val="000000"/>
                <w:kern w:val="0"/>
                <w:sz w:val="24"/>
                <w:szCs w:val="24"/>
                <w:u w:val="none"/>
                <w:lang w:val="en-US" w:eastAsia="zh-CN" w:bidi="ar"/>
              </w:rPr>
              <w:t>其他</w:t>
            </w:r>
            <w:r>
              <w:rPr>
                <w:rFonts w:hint="default" w:ascii="仿宋_GB2312" w:hAnsi="宋体" w:eastAsia="仿宋_GB2312" w:cs="仿宋_GB2312"/>
                <w:b/>
                <w:bCs/>
                <w:i w:val="0"/>
                <w:color w:val="000000"/>
                <w:kern w:val="0"/>
                <w:sz w:val="24"/>
                <w:szCs w:val="24"/>
                <w:u w:val="none"/>
                <w:lang w:val="en-US" w:eastAsia="zh-CN" w:bidi="ar"/>
              </w:rPr>
              <w:br w:type="textWrapping"/>
            </w:r>
            <w:r>
              <w:rPr>
                <w:rFonts w:hint="default" w:ascii="仿宋_GB2312" w:hAnsi="宋体" w:eastAsia="仿宋_GB2312" w:cs="仿宋_GB2312"/>
                <w:b/>
                <w:bCs/>
                <w:i w:val="0"/>
                <w:color w:val="000000"/>
                <w:kern w:val="0"/>
                <w:sz w:val="24"/>
                <w:szCs w:val="24"/>
                <w:u w:val="none"/>
                <w:lang w:val="en-US" w:eastAsia="zh-CN" w:bidi="ar"/>
              </w:rPr>
              <w:t>条件</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color w:val="000000"/>
                <w:sz w:val="24"/>
                <w:szCs w:val="24"/>
                <w:u w:val="none"/>
              </w:rPr>
            </w:pPr>
            <w:r>
              <w:rPr>
                <w:rFonts w:hint="default" w:ascii="仿宋_GB2312" w:hAnsi="宋体" w:eastAsia="仿宋_GB2312" w:cs="仿宋_GB2312"/>
                <w:b/>
                <w:bCs/>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i w:val="0"/>
                <w:color w:val="000000"/>
                <w:sz w:val="28"/>
                <w:szCs w:val="28"/>
                <w:u w:val="none"/>
              </w:rPr>
            </w:pPr>
            <w:r>
              <w:rPr>
                <w:rFonts w:hint="eastAsia" w:ascii="仿宋" w:hAnsi="仿宋" w:eastAsia="仿宋" w:cs="仿宋"/>
                <w:i w:val="0"/>
                <w:color w:val="000000"/>
                <w:kern w:val="0"/>
                <w:sz w:val="28"/>
                <w:szCs w:val="28"/>
                <w:u w:val="none"/>
                <w:lang w:val="en-US" w:eastAsia="zh-CN" w:bidi="ar"/>
              </w:rPr>
              <w:t>教育局</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特教学校</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仿宋" w:hAnsi="仿宋" w:eastAsia="仿宋" w:cs="仿宋"/>
                <w:i w:val="0"/>
                <w:color w:val="000000"/>
                <w:kern w:val="0"/>
                <w:sz w:val="24"/>
                <w:szCs w:val="24"/>
                <w:u w:val="none"/>
                <w:lang w:val="en-US" w:eastAsia="zh-CN" w:bidi="ar"/>
              </w:rPr>
              <w:t>特殊教育</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全日制普通高校专科及以上学历，具有中小学教师资格证并符合岗位专业要求；</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报考特教学校的要为特殊教育专业毕业生。</w:t>
            </w:r>
          </w:p>
        </w:tc>
        <w:tc>
          <w:tcPr>
            <w:tcW w:w="16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专科、本科学历毕业生年龄在30周岁以下（1988年7月1日以后出生），研究生学历毕业生年龄可适当放宽至35周岁以下（1983年7月1日以后出生）</w:t>
            </w:r>
          </w:p>
        </w:tc>
        <w:tc>
          <w:tcPr>
            <w:tcW w:w="12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毕业生须本人及配偶一方具有清河户籍或父母一方在清河工作一年以上；2018年应届毕业生不受户籍限制。</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油坊校区</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赵店校区</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艺体</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连庄校区</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艺体</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王官庄校区</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艺体</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辛集校区</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马屯校区</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理综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小屯校区</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理综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坝营校区</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理综</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exact"/>
          <w:jc w:val="center"/>
        </w:trPr>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艺体</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2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8"/>
                <w:szCs w:val="2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04" w:hRule="exact"/>
          <w:jc w:val="center"/>
        </w:trPr>
        <w:tc>
          <w:tcPr>
            <w:tcW w:w="11085" w:type="dxa"/>
            <w:gridSpan w:val="9"/>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备注：文综类：语文、英语、历史、历史与社会、地理、社会、科学、思想政治（思想品德）、</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教育学、心理学（心理健康教育）、美术；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理综类：数学、物理、化学、生物、通用技术、信息技术；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艺体类：音乐、体育（体育与健康）。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A48D0"/>
    <w:rsid w:val="053A3F26"/>
    <w:rsid w:val="2B203BB7"/>
    <w:rsid w:val="3922061F"/>
    <w:rsid w:val="39AE1103"/>
    <w:rsid w:val="43703A2D"/>
    <w:rsid w:val="4FDA48D0"/>
    <w:rsid w:val="550C0D64"/>
    <w:rsid w:val="598474A3"/>
    <w:rsid w:val="619B17D2"/>
    <w:rsid w:val="689C7E91"/>
    <w:rsid w:val="6FB45AC2"/>
    <w:rsid w:val="77DA20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2018-07-27T12:19:00Z</dcterms:created>
  <dc:creator>活力晴天</dc:creator>
  <cp:lastModifiedBy>活力晴天</cp:lastModifiedBy>
  <dcterms:modified xsi:type="dcterms:W3CDTF">2018-07-27T12:20:10Z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