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1052" w:type="dxa"/>
        <w:jc w:val="center"/>
        <w:tblInd w:w="-12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83"/>
        <w:gridCol w:w="1544"/>
        <w:gridCol w:w="959"/>
        <w:gridCol w:w="680"/>
        <w:gridCol w:w="1829"/>
        <w:gridCol w:w="1410"/>
        <w:gridCol w:w="1319"/>
        <w:gridCol w:w="1004"/>
        <w:gridCol w:w="11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567" w:hRule="exact"/>
          <w:jc w:val="center"/>
        </w:trPr>
        <w:tc>
          <w:tcPr>
            <w:tcW w:w="118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附件3：</w:t>
            </w:r>
          </w:p>
        </w:tc>
        <w:tc>
          <w:tcPr>
            <w:tcW w:w="1544" w:type="dxa"/>
            <w:shd w:val="clear" w:color="auto" w:fill="auto"/>
            <w:vAlign w:val="center"/>
          </w:tcPr>
          <w:p>
            <w:pPr>
              <w:rPr>
                <w:rFonts w:hint="eastAsia" w:ascii="宋体" w:hAnsi="宋体" w:eastAsia="宋体" w:cs="宋体"/>
                <w:i w:val="0"/>
                <w:color w:val="000000"/>
                <w:sz w:val="24"/>
                <w:szCs w:val="24"/>
                <w:u w:val="none"/>
              </w:rPr>
            </w:pPr>
          </w:p>
        </w:tc>
        <w:tc>
          <w:tcPr>
            <w:tcW w:w="959" w:type="dxa"/>
            <w:shd w:val="clear" w:color="auto" w:fill="auto"/>
            <w:vAlign w:val="center"/>
          </w:tcPr>
          <w:p>
            <w:pPr>
              <w:rPr>
                <w:rFonts w:hint="eastAsia" w:ascii="宋体" w:hAnsi="宋体" w:eastAsia="宋体" w:cs="宋体"/>
                <w:i w:val="0"/>
                <w:color w:val="000000"/>
                <w:sz w:val="24"/>
                <w:szCs w:val="24"/>
                <w:u w:val="none"/>
              </w:rPr>
            </w:pPr>
          </w:p>
        </w:tc>
        <w:tc>
          <w:tcPr>
            <w:tcW w:w="680" w:type="dxa"/>
            <w:shd w:val="clear" w:color="auto" w:fill="auto"/>
            <w:vAlign w:val="center"/>
          </w:tcPr>
          <w:p>
            <w:pPr>
              <w:rPr>
                <w:rFonts w:hint="eastAsia" w:ascii="宋体" w:hAnsi="宋体" w:eastAsia="宋体" w:cs="宋体"/>
                <w:i w:val="0"/>
                <w:color w:val="000000"/>
                <w:sz w:val="24"/>
                <w:szCs w:val="24"/>
                <w:u w:val="none"/>
              </w:rPr>
            </w:pPr>
          </w:p>
        </w:tc>
        <w:tc>
          <w:tcPr>
            <w:tcW w:w="1829" w:type="dxa"/>
            <w:shd w:val="clear" w:color="auto" w:fill="auto"/>
            <w:vAlign w:val="center"/>
          </w:tcPr>
          <w:p>
            <w:pPr>
              <w:rPr>
                <w:rFonts w:hint="eastAsia" w:ascii="宋体" w:hAnsi="宋体" w:eastAsia="宋体" w:cs="宋体"/>
                <w:i w:val="0"/>
                <w:color w:val="000000"/>
                <w:sz w:val="24"/>
                <w:szCs w:val="24"/>
                <w:u w:val="none"/>
              </w:rPr>
            </w:pPr>
          </w:p>
        </w:tc>
        <w:tc>
          <w:tcPr>
            <w:tcW w:w="1410" w:type="dxa"/>
            <w:shd w:val="clear" w:color="auto" w:fill="auto"/>
            <w:vAlign w:val="center"/>
          </w:tcPr>
          <w:p>
            <w:pPr>
              <w:rPr>
                <w:rFonts w:hint="eastAsia" w:ascii="宋体" w:hAnsi="宋体" w:eastAsia="宋体" w:cs="宋体"/>
                <w:i w:val="0"/>
                <w:color w:val="000000"/>
                <w:sz w:val="24"/>
                <w:szCs w:val="24"/>
                <w:u w:val="none"/>
              </w:rPr>
            </w:pPr>
          </w:p>
        </w:tc>
        <w:tc>
          <w:tcPr>
            <w:tcW w:w="1319" w:type="dxa"/>
            <w:shd w:val="clear" w:color="auto" w:fill="auto"/>
            <w:vAlign w:val="center"/>
          </w:tcPr>
          <w:p>
            <w:pPr>
              <w:rPr>
                <w:rFonts w:hint="eastAsia" w:ascii="宋体" w:hAnsi="宋体" w:eastAsia="宋体" w:cs="宋体"/>
                <w:i w:val="0"/>
                <w:color w:val="000000"/>
                <w:sz w:val="24"/>
                <w:szCs w:val="24"/>
                <w:u w:val="none"/>
              </w:rPr>
            </w:pPr>
          </w:p>
        </w:tc>
        <w:tc>
          <w:tcPr>
            <w:tcW w:w="1004" w:type="dxa"/>
            <w:shd w:val="clear" w:color="auto" w:fill="auto"/>
            <w:vAlign w:val="center"/>
          </w:tcPr>
          <w:p>
            <w:pPr>
              <w:rPr>
                <w:rFonts w:hint="eastAsia" w:ascii="宋体" w:hAnsi="宋体" w:eastAsia="宋体" w:cs="宋体"/>
                <w:i w:val="0"/>
                <w:color w:val="000000"/>
                <w:sz w:val="24"/>
                <w:szCs w:val="24"/>
                <w:u w:val="none"/>
              </w:rPr>
            </w:pPr>
          </w:p>
        </w:tc>
        <w:tc>
          <w:tcPr>
            <w:tcW w:w="1124" w:type="dxa"/>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567" w:hRule="exact"/>
          <w:jc w:val="center"/>
        </w:trPr>
        <w:tc>
          <w:tcPr>
            <w:tcW w:w="11052" w:type="dxa"/>
            <w:gridSpan w:val="9"/>
            <w:tcBorders>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清河县2018年公开招聘幼儿园人事代理教师岗位条件表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680" w:hRule="exact"/>
          <w:jc w:val="center"/>
        </w:trPr>
        <w:tc>
          <w:tcPr>
            <w:tcW w:w="1183" w:type="dxa"/>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主管部门</w:t>
            </w:r>
          </w:p>
        </w:tc>
        <w:tc>
          <w:tcPr>
            <w:tcW w:w="154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招聘单位</w:t>
            </w:r>
          </w:p>
        </w:tc>
        <w:tc>
          <w:tcPr>
            <w:tcW w:w="95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招聘岗位类别</w:t>
            </w:r>
          </w:p>
        </w:tc>
        <w:tc>
          <w:tcPr>
            <w:tcW w:w="6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招聘</w:t>
            </w:r>
            <w:r>
              <w:rPr>
                <w:rFonts w:hint="default" w:ascii="仿宋_GB2312" w:hAnsi="宋体" w:eastAsia="仿宋_GB2312" w:cs="仿宋_GB2312"/>
                <w:b/>
                <w:i w:val="0"/>
                <w:color w:val="000000"/>
                <w:kern w:val="0"/>
                <w:sz w:val="24"/>
                <w:szCs w:val="24"/>
                <w:u w:val="none"/>
                <w:lang w:val="en-US" w:eastAsia="zh-CN" w:bidi="ar"/>
              </w:rPr>
              <w:br w:type="textWrapping"/>
            </w:r>
            <w:r>
              <w:rPr>
                <w:rFonts w:hint="default" w:ascii="仿宋_GB2312" w:hAnsi="宋体" w:eastAsia="仿宋_GB2312" w:cs="仿宋_GB2312"/>
                <w:b/>
                <w:i w:val="0"/>
                <w:color w:val="000000"/>
                <w:kern w:val="0"/>
                <w:sz w:val="24"/>
                <w:szCs w:val="24"/>
                <w:u w:val="none"/>
                <w:lang w:val="en-US" w:eastAsia="zh-CN" w:bidi="ar"/>
              </w:rPr>
              <w:t>人数</w:t>
            </w:r>
          </w:p>
        </w:tc>
        <w:tc>
          <w:tcPr>
            <w:tcW w:w="182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专业要求</w:t>
            </w:r>
          </w:p>
        </w:tc>
        <w:tc>
          <w:tcPr>
            <w:tcW w:w="141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学历条件</w:t>
            </w:r>
          </w:p>
        </w:tc>
        <w:tc>
          <w:tcPr>
            <w:tcW w:w="131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年龄条件</w:t>
            </w:r>
          </w:p>
        </w:tc>
        <w:tc>
          <w:tcPr>
            <w:tcW w:w="100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其他</w:t>
            </w:r>
            <w:r>
              <w:rPr>
                <w:rFonts w:hint="default" w:ascii="仿宋_GB2312" w:hAnsi="宋体" w:eastAsia="仿宋_GB2312" w:cs="仿宋_GB2312"/>
                <w:b/>
                <w:i w:val="0"/>
                <w:color w:val="000000"/>
                <w:kern w:val="0"/>
                <w:sz w:val="24"/>
                <w:szCs w:val="24"/>
                <w:u w:val="none"/>
                <w:lang w:val="en-US" w:eastAsia="zh-CN" w:bidi="ar"/>
              </w:rPr>
              <w:br w:type="textWrapping"/>
            </w:r>
            <w:r>
              <w:rPr>
                <w:rFonts w:hint="default" w:ascii="仿宋_GB2312" w:hAnsi="宋体" w:eastAsia="仿宋_GB2312" w:cs="仿宋_GB2312"/>
                <w:b/>
                <w:i w:val="0"/>
                <w:color w:val="000000"/>
                <w:kern w:val="0"/>
                <w:sz w:val="24"/>
                <w:szCs w:val="24"/>
                <w:u w:val="none"/>
                <w:lang w:val="en-US" w:eastAsia="zh-CN" w:bidi="ar"/>
              </w:rPr>
              <w:t>条件</w:t>
            </w:r>
          </w:p>
        </w:tc>
        <w:tc>
          <w:tcPr>
            <w:tcW w:w="1124" w:type="dxa"/>
            <w:tcBorders>
              <w:top w:val="single" w:color="auto"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680" w:hRule="exact"/>
          <w:jc w:val="center"/>
        </w:trPr>
        <w:tc>
          <w:tcPr>
            <w:tcW w:w="1183"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教育局</w:t>
            </w:r>
          </w:p>
        </w:tc>
        <w:tc>
          <w:tcPr>
            <w:tcW w:w="154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县直幼儿园</w:t>
            </w:r>
          </w:p>
        </w:tc>
        <w:tc>
          <w:tcPr>
            <w:tcW w:w="95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6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182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幼儿教育、</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学前教育</w:t>
            </w:r>
          </w:p>
        </w:tc>
        <w:tc>
          <w:tcPr>
            <w:tcW w:w="141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全日制普通高校学前教育或幼教专业专科及以上学历毕业生，具有幼儿园（学前）教师资格证并符合岗位专业要求</w:t>
            </w:r>
          </w:p>
        </w:tc>
        <w:tc>
          <w:tcPr>
            <w:tcW w:w="1319"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专科、本科学历毕业生年龄在30周岁以下（1988年7月1日以后出生），研究生学历毕业生年龄可适当放宽至35周岁以下（1983年7月1日以后出生）</w:t>
            </w:r>
          </w:p>
        </w:tc>
        <w:tc>
          <w:tcPr>
            <w:tcW w:w="1004"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毕业生须本人及配偶一方具有清河户籍或父母一方在清河工作一年以上；2018年应届毕业生不受户籍限制</w:t>
            </w:r>
          </w:p>
        </w:tc>
        <w:tc>
          <w:tcPr>
            <w:tcW w:w="1124" w:type="dxa"/>
            <w:vMerge w:val="restart"/>
            <w:tcBorders>
              <w:top w:val="single" w:color="000000"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667" w:hRule="exact"/>
          <w:jc w:val="center"/>
        </w:trPr>
        <w:tc>
          <w:tcPr>
            <w:tcW w:w="1183"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4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县直一幼</w:t>
            </w:r>
          </w:p>
        </w:tc>
        <w:tc>
          <w:tcPr>
            <w:tcW w:w="95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6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82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幼儿教育、</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学前教育</w:t>
            </w:r>
          </w:p>
        </w:tc>
        <w:tc>
          <w:tcPr>
            <w:tcW w:w="141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31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00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124"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727" w:hRule="exact"/>
          <w:jc w:val="center"/>
        </w:trPr>
        <w:tc>
          <w:tcPr>
            <w:tcW w:w="11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县直二幼</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幼儿教育、</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学前教育</w:t>
            </w: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1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667" w:hRule="exact"/>
          <w:jc w:val="center"/>
        </w:trPr>
        <w:tc>
          <w:tcPr>
            <w:tcW w:w="11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县直三幼</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幼儿教育、</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学前教育</w:t>
            </w: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1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712" w:hRule="exact"/>
          <w:jc w:val="center"/>
        </w:trPr>
        <w:tc>
          <w:tcPr>
            <w:tcW w:w="11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黄金庄校区</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幼儿教育、</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学前教育</w:t>
            </w: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1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712" w:hRule="exact"/>
          <w:jc w:val="center"/>
        </w:trPr>
        <w:tc>
          <w:tcPr>
            <w:tcW w:w="11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小屯校区</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幼儿教育、</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学前教育</w:t>
            </w: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1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742" w:hRule="exact"/>
          <w:jc w:val="center"/>
        </w:trPr>
        <w:tc>
          <w:tcPr>
            <w:tcW w:w="11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赵店校区</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幼儿教育、</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学前教育</w:t>
            </w: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1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667" w:hRule="exact"/>
          <w:jc w:val="center"/>
        </w:trPr>
        <w:tc>
          <w:tcPr>
            <w:tcW w:w="11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孙庄校区</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幼儿教育、</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学前教育</w:t>
            </w: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1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cantSplit/>
          <w:trHeight w:val="737" w:hRule="exact"/>
          <w:jc w:val="center"/>
        </w:trPr>
        <w:tc>
          <w:tcPr>
            <w:tcW w:w="11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王官庄校区</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幼儿教育、</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学前教育</w:t>
            </w: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 w:hAnsi="仿宋" w:eastAsia="仿宋" w:cs="仿宋"/>
                <w:i w:val="0"/>
                <w:color w:val="000000"/>
                <w:sz w:val="24"/>
                <w:szCs w:val="24"/>
                <w:u w:val="none"/>
              </w:rPr>
            </w:pPr>
          </w:p>
        </w:tc>
        <w:tc>
          <w:tcPr>
            <w:tcW w:w="11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color w:val="000000"/>
                <w:sz w:val="24"/>
                <w:szCs w:val="24"/>
                <w:u w:val="none"/>
              </w:rPr>
            </w:pPr>
          </w:p>
        </w:tc>
      </w:tr>
    </w:tbl>
    <w:p>
      <w:pPr>
        <w:rPr>
          <w:rFonts w:ascii="仿宋" w:hAnsi="仿宋" w:eastAsia="仿宋"/>
          <w:sz w:val="28"/>
          <w:szCs w:val="28"/>
        </w:rPr>
      </w:pPr>
    </w:p>
    <w:p>
      <w:pPr>
        <w:rPr>
          <w:rFonts w:ascii="仿宋" w:hAnsi="仿宋" w:eastAsia="仿宋"/>
          <w:sz w:val="32"/>
          <w:szCs w:val="32"/>
        </w:rPr>
      </w:pPr>
    </w:p>
    <w:p>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723" w:right="1627" w:bottom="1440" w:left="162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7</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9B7CF8"/>
    <w:rsid w:val="569B7C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page number"/>
    <w:basedOn w:val="4"/>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2018-07-27T12:20:00Z</dcterms:created>
  <dc:creator>活力晴天</dc:creator>
  <cp:lastModifiedBy>活力晴天</cp:lastModifiedBy>
  <dcterms:modified xsi:type="dcterms:W3CDTF">2018-07-27T12:20:46Z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